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C636F" w14:textId="44F25129" w:rsidR="002E2FC4" w:rsidRDefault="002E2FC4" w:rsidP="008F69B8">
      <w:pPr>
        <w:jc w:val="center"/>
        <w:rPr>
          <w:rFonts w:ascii="Arial" w:eastAsia="Calibri" w:hAnsi="Arial" w:cs="Arial"/>
          <w:b/>
          <w:bCs/>
        </w:rPr>
      </w:pPr>
      <w:bookmarkStart w:id="0" w:name="_GoBack"/>
      <w:bookmarkEnd w:id="0"/>
      <w:r w:rsidRPr="002E2FC4">
        <w:rPr>
          <w:rFonts w:ascii="Arial" w:eastAsia="Calibri" w:hAnsi="Arial" w:cs="Arial"/>
          <w:b/>
          <w:bCs/>
        </w:rPr>
        <w:t>Protection</w:t>
      </w:r>
      <w:r w:rsidRPr="002E2FC4">
        <w:rPr>
          <w:rFonts w:ascii="Arial" w:hAnsi="Arial" w:cs="Arial"/>
          <w:b/>
          <w:bCs/>
        </w:rPr>
        <w:t xml:space="preserve"> </w:t>
      </w:r>
      <w:r w:rsidRPr="002E2FC4">
        <w:rPr>
          <w:rFonts w:ascii="Arial" w:eastAsia="Calibri" w:hAnsi="Arial" w:cs="Arial"/>
          <w:b/>
          <w:bCs/>
        </w:rPr>
        <w:t>Issue</w:t>
      </w:r>
      <w:r w:rsidRPr="002E2FC4">
        <w:rPr>
          <w:rFonts w:ascii="Arial" w:hAnsi="Arial" w:cs="Arial"/>
          <w:b/>
          <w:bCs/>
        </w:rPr>
        <w:t xml:space="preserve"> </w:t>
      </w:r>
      <w:r w:rsidRPr="002E2FC4">
        <w:rPr>
          <w:rFonts w:ascii="Arial" w:eastAsia="Calibri" w:hAnsi="Arial" w:cs="Arial"/>
          <w:b/>
          <w:bCs/>
        </w:rPr>
        <w:t>Mapping</w:t>
      </w:r>
      <w:r w:rsidR="008F69B8">
        <w:rPr>
          <w:rFonts w:ascii="Arial" w:eastAsia="Calibri" w:hAnsi="Arial" w:cs="Arial"/>
          <w:b/>
          <w:bCs/>
        </w:rPr>
        <w:t xml:space="preserve">: </w:t>
      </w:r>
      <w:r w:rsidR="007A0E97">
        <w:rPr>
          <w:rFonts w:ascii="Arial" w:eastAsia="Calibri" w:hAnsi="Arial" w:cs="Arial"/>
          <w:b/>
          <w:bCs/>
        </w:rPr>
        <w:t>Phase I</w:t>
      </w:r>
    </w:p>
    <w:p w14:paraId="6A8ED28C" w14:textId="1F206E49" w:rsidR="002E2FC4" w:rsidRDefault="002E2FC4" w:rsidP="007A0E97">
      <w:pPr>
        <w:jc w:val="center"/>
        <w:rPr>
          <w:rFonts w:ascii="Arial" w:eastAsia="Calibri" w:hAnsi="Arial" w:cs="Arial"/>
          <w:b/>
          <w:bCs/>
          <w:color w:val="000000" w:themeColor="text1"/>
        </w:rPr>
      </w:pPr>
      <w:r>
        <w:rPr>
          <w:rFonts w:ascii="Arial" w:eastAsia="Calibri" w:hAnsi="Arial" w:cs="Arial"/>
          <w:b/>
          <w:bCs/>
          <w:color w:val="000000" w:themeColor="text1"/>
        </w:rPr>
        <w:t>Methods Brief</w:t>
      </w:r>
    </w:p>
    <w:p w14:paraId="043026B8" w14:textId="03A44FAB" w:rsidR="002E2FC4" w:rsidRPr="002E2FC4" w:rsidRDefault="008370FF" w:rsidP="000731AF">
      <w:pPr>
        <w:spacing w:before="320" w:after="80" w:line="276" w:lineRule="auto"/>
        <w:outlineLvl w:val="2"/>
        <w:rPr>
          <w:rFonts w:ascii="Arial" w:eastAsia="Times New Roman" w:hAnsi="Arial" w:cs="Arial"/>
          <w:b/>
          <w:bCs/>
          <w:color w:val="000000" w:themeColor="text1"/>
        </w:rPr>
      </w:pPr>
      <w:r>
        <w:rPr>
          <w:rFonts w:ascii="Arial" w:eastAsia="Calibri" w:hAnsi="Arial" w:cs="Arial"/>
          <w:b/>
          <w:bCs/>
          <w:color w:val="000000" w:themeColor="text1"/>
        </w:rPr>
        <w:t>1. Article Search</w:t>
      </w:r>
      <w:r w:rsidR="002E2FC4" w:rsidRPr="002E2FC4">
        <w:rPr>
          <w:rFonts w:ascii="Arial" w:eastAsia="Times New Roman" w:hAnsi="Arial" w:cs="Arial"/>
          <w:b/>
          <w:bCs/>
          <w:color w:val="000000" w:themeColor="text1"/>
        </w:rPr>
        <w:t xml:space="preserve"> </w:t>
      </w:r>
    </w:p>
    <w:p w14:paraId="3B222E78" w14:textId="292D4F38" w:rsidR="00CB69C5" w:rsidRDefault="002E2FC4" w:rsidP="000731AF">
      <w:pPr>
        <w:spacing w:line="276" w:lineRule="auto"/>
        <w:rPr>
          <w:rFonts w:ascii="Arial" w:eastAsia="Calibri" w:hAnsi="Arial" w:cs="Arial"/>
          <w:color w:val="000000"/>
          <w:sz w:val="22"/>
          <w:szCs w:val="22"/>
        </w:rPr>
      </w:pPr>
      <w:r w:rsidRPr="002E2FC4">
        <w:rPr>
          <w:rFonts w:ascii="Arial" w:eastAsia="Calibri" w:hAnsi="Arial" w:cs="Arial"/>
          <w:color w:val="000000"/>
          <w:sz w:val="22"/>
          <w:szCs w:val="22"/>
        </w:rPr>
        <w:t>This</w:t>
      </w:r>
      <w:r w:rsidRPr="002E2FC4">
        <w:rPr>
          <w:rFonts w:ascii="Arial" w:hAnsi="Arial" w:cs="Arial"/>
          <w:color w:val="000000"/>
          <w:sz w:val="22"/>
          <w:szCs w:val="22"/>
        </w:rPr>
        <w:t xml:space="preserve"> </w:t>
      </w:r>
      <w:r w:rsidRPr="002E2FC4">
        <w:rPr>
          <w:rFonts w:ascii="Arial" w:eastAsia="Calibri" w:hAnsi="Arial" w:cs="Arial"/>
          <w:color w:val="000000"/>
          <w:sz w:val="22"/>
          <w:szCs w:val="22"/>
        </w:rPr>
        <w:t>exercise</w:t>
      </w:r>
      <w:r w:rsidRPr="002E2FC4">
        <w:rPr>
          <w:rFonts w:ascii="Arial" w:hAnsi="Arial" w:cs="Arial"/>
          <w:color w:val="000000"/>
          <w:sz w:val="22"/>
          <w:szCs w:val="22"/>
        </w:rPr>
        <w:t xml:space="preserve"> </w:t>
      </w:r>
      <w:r w:rsidRPr="002E2FC4">
        <w:rPr>
          <w:rFonts w:ascii="Arial" w:eastAsia="Calibri" w:hAnsi="Arial" w:cs="Arial"/>
          <w:color w:val="000000"/>
          <w:sz w:val="22"/>
          <w:szCs w:val="22"/>
        </w:rPr>
        <w:t>is</w:t>
      </w:r>
      <w:r w:rsidRPr="002E2FC4">
        <w:rPr>
          <w:rFonts w:ascii="Arial" w:hAnsi="Arial" w:cs="Arial"/>
          <w:color w:val="000000"/>
          <w:sz w:val="22"/>
          <w:szCs w:val="22"/>
        </w:rPr>
        <w:t xml:space="preserve"> </w:t>
      </w:r>
      <w:r w:rsidRPr="002E2FC4">
        <w:rPr>
          <w:rFonts w:ascii="Arial" w:eastAsia="Calibri" w:hAnsi="Arial" w:cs="Arial"/>
          <w:color w:val="000000"/>
          <w:sz w:val="22"/>
          <w:szCs w:val="22"/>
        </w:rPr>
        <w:t>a</w:t>
      </w:r>
      <w:r w:rsidRPr="002E2FC4">
        <w:rPr>
          <w:rFonts w:ascii="Arial" w:hAnsi="Arial" w:cs="Arial"/>
          <w:color w:val="000000"/>
          <w:sz w:val="22"/>
          <w:szCs w:val="22"/>
        </w:rPr>
        <w:t xml:space="preserve"> </w:t>
      </w:r>
      <w:r w:rsidRPr="002E2FC4">
        <w:rPr>
          <w:rFonts w:ascii="Arial" w:eastAsia="Calibri" w:hAnsi="Arial" w:cs="Arial"/>
          <w:color w:val="000000"/>
          <w:sz w:val="22"/>
          <w:szCs w:val="22"/>
        </w:rPr>
        <w:t>desk</w:t>
      </w:r>
      <w:r w:rsidRPr="002E2FC4">
        <w:rPr>
          <w:rFonts w:ascii="Arial" w:hAnsi="Arial" w:cs="Arial"/>
          <w:color w:val="000000"/>
          <w:sz w:val="22"/>
          <w:szCs w:val="22"/>
        </w:rPr>
        <w:t xml:space="preserve"> </w:t>
      </w:r>
      <w:r w:rsidRPr="002E2FC4">
        <w:rPr>
          <w:rFonts w:ascii="Arial" w:eastAsia="Calibri" w:hAnsi="Arial" w:cs="Arial"/>
          <w:color w:val="000000"/>
          <w:sz w:val="22"/>
          <w:szCs w:val="22"/>
        </w:rPr>
        <w:t>study</w:t>
      </w:r>
      <w:r w:rsidRPr="002E2FC4">
        <w:rPr>
          <w:rFonts w:ascii="Arial" w:hAnsi="Arial" w:cs="Arial"/>
          <w:color w:val="000000"/>
          <w:sz w:val="22"/>
          <w:szCs w:val="22"/>
        </w:rPr>
        <w:t xml:space="preserve"> </w:t>
      </w:r>
      <w:r w:rsidRPr="002E2FC4">
        <w:rPr>
          <w:rFonts w:ascii="Arial" w:eastAsia="Calibri" w:hAnsi="Arial" w:cs="Arial"/>
          <w:color w:val="000000"/>
          <w:sz w:val="22"/>
          <w:szCs w:val="22"/>
        </w:rPr>
        <w:t>conducted</w:t>
      </w:r>
      <w:r w:rsidRPr="002E2FC4">
        <w:rPr>
          <w:rFonts w:ascii="Arial" w:hAnsi="Arial" w:cs="Arial"/>
          <w:color w:val="000000"/>
          <w:sz w:val="22"/>
          <w:szCs w:val="22"/>
        </w:rPr>
        <w:t xml:space="preserve"> </w:t>
      </w:r>
      <w:r w:rsidRPr="002E2FC4">
        <w:rPr>
          <w:rFonts w:ascii="Arial" w:eastAsia="Calibri" w:hAnsi="Arial" w:cs="Arial"/>
          <w:color w:val="000000"/>
          <w:sz w:val="22"/>
          <w:szCs w:val="22"/>
        </w:rPr>
        <w:t>in</w:t>
      </w:r>
      <w:r w:rsidRPr="002E2FC4">
        <w:rPr>
          <w:rFonts w:ascii="Arial" w:hAnsi="Arial" w:cs="Arial"/>
          <w:color w:val="000000"/>
          <w:sz w:val="22"/>
          <w:szCs w:val="22"/>
        </w:rPr>
        <w:t xml:space="preserve"> </w:t>
      </w:r>
      <w:r w:rsidRPr="002E2FC4">
        <w:rPr>
          <w:rFonts w:ascii="Arial" w:eastAsia="Calibri" w:hAnsi="Arial" w:cs="Arial"/>
          <w:color w:val="000000"/>
          <w:sz w:val="22"/>
          <w:szCs w:val="22"/>
        </w:rPr>
        <w:t>the</w:t>
      </w:r>
      <w:r w:rsidRPr="002E2FC4">
        <w:rPr>
          <w:rFonts w:ascii="Arial" w:hAnsi="Arial" w:cs="Arial"/>
          <w:color w:val="000000"/>
          <w:sz w:val="22"/>
          <w:szCs w:val="22"/>
        </w:rPr>
        <w:t xml:space="preserve"> </w:t>
      </w:r>
      <w:r w:rsidRPr="002E2FC4">
        <w:rPr>
          <w:rFonts w:ascii="Arial" w:eastAsia="Calibri" w:hAnsi="Arial" w:cs="Arial"/>
          <w:color w:val="000000"/>
          <w:sz w:val="22"/>
          <w:szCs w:val="22"/>
        </w:rPr>
        <w:t>form</w:t>
      </w:r>
      <w:r w:rsidRPr="002E2FC4">
        <w:rPr>
          <w:rFonts w:ascii="Arial" w:hAnsi="Arial" w:cs="Arial"/>
          <w:color w:val="000000"/>
          <w:sz w:val="22"/>
          <w:szCs w:val="22"/>
        </w:rPr>
        <w:t xml:space="preserve"> </w:t>
      </w:r>
      <w:r w:rsidRPr="002E2FC4">
        <w:rPr>
          <w:rFonts w:ascii="Arial" w:eastAsia="Calibri" w:hAnsi="Arial" w:cs="Arial"/>
          <w:color w:val="000000"/>
          <w:sz w:val="22"/>
          <w:szCs w:val="22"/>
        </w:rPr>
        <w:t>of</w:t>
      </w:r>
      <w:r w:rsidRPr="002E2FC4">
        <w:rPr>
          <w:rFonts w:ascii="Arial" w:hAnsi="Arial" w:cs="Arial"/>
          <w:color w:val="000000"/>
          <w:sz w:val="22"/>
          <w:szCs w:val="22"/>
        </w:rPr>
        <w:t xml:space="preserve"> </w:t>
      </w:r>
      <w:r w:rsidRPr="002E2FC4">
        <w:rPr>
          <w:rFonts w:ascii="Arial" w:eastAsia="Calibri" w:hAnsi="Arial" w:cs="Arial"/>
          <w:color w:val="000000"/>
          <w:sz w:val="22"/>
          <w:szCs w:val="22"/>
        </w:rPr>
        <w:t>an</w:t>
      </w:r>
      <w:r w:rsidRPr="002E2FC4">
        <w:rPr>
          <w:rFonts w:ascii="Arial" w:hAnsi="Arial" w:cs="Arial"/>
          <w:color w:val="000000"/>
          <w:sz w:val="22"/>
          <w:szCs w:val="22"/>
        </w:rPr>
        <w:t xml:space="preserve"> </w:t>
      </w:r>
      <w:r w:rsidRPr="002E2FC4">
        <w:rPr>
          <w:rFonts w:ascii="Arial" w:eastAsia="Calibri" w:hAnsi="Arial" w:cs="Arial"/>
          <w:color w:val="000000"/>
          <w:sz w:val="22"/>
          <w:szCs w:val="22"/>
        </w:rPr>
        <w:t>exploratory</w:t>
      </w:r>
      <w:r w:rsidRPr="002E2FC4">
        <w:rPr>
          <w:rFonts w:ascii="Arial" w:hAnsi="Arial" w:cs="Arial"/>
          <w:color w:val="000000"/>
          <w:sz w:val="22"/>
          <w:szCs w:val="22"/>
        </w:rPr>
        <w:t xml:space="preserve"> </w:t>
      </w:r>
      <w:r w:rsidRPr="002E2FC4">
        <w:rPr>
          <w:rFonts w:ascii="Arial" w:eastAsia="Calibri" w:hAnsi="Arial" w:cs="Arial"/>
          <w:color w:val="000000"/>
          <w:sz w:val="22"/>
          <w:szCs w:val="22"/>
        </w:rPr>
        <w:t>literature</w:t>
      </w:r>
      <w:r w:rsidRPr="002E2FC4">
        <w:rPr>
          <w:rFonts w:ascii="Arial" w:hAnsi="Arial" w:cs="Arial"/>
          <w:color w:val="000000"/>
          <w:sz w:val="22"/>
          <w:szCs w:val="22"/>
        </w:rPr>
        <w:t xml:space="preserve"> </w:t>
      </w:r>
      <w:r w:rsidRPr="002E2FC4">
        <w:rPr>
          <w:rFonts w:ascii="Arial" w:eastAsia="Calibri" w:hAnsi="Arial" w:cs="Arial"/>
          <w:color w:val="000000"/>
          <w:sz w:val="22"/>
          <w:szCs w:val="22"/>
        </w:rPr>
        <w:t>review</w:t>
      </w:r>
      <w:r w:rsidRPr="002E2FC4">
        <w:rPr>
          <w:rFonts w:ascii="Arial" w:hAnsi="Arial" w:cs="Arial"/>
          <w:color w:val="000000"/>
          <w:sz w:val="22"/>
          <w:szCs w:val="22"/>
        </w:rPr>
        <w:t xml:space="preserve"> </w:t>
      </w:r>
      <w:r w:rsidRPr="002E2FC4">
        <w:rPr>
          <w:rFonts w:ascii="Arial" w:eastAsia="Calibri" w:hAnsi="Arial" w:cs="Arial"/>
          <w:color w:val="000000"/>
          <w:sz w:val="22"/>
          <w:szCs w:val="22"/>
        </w:rPr>
        <w:t>to</w:t>
      </w:r>
      <w:r w:rsidRPr="002E2FC4">
        <w:rPr>
          <w:rFonts w:ascii="Arial" w:hAnsi="Arial" w:cs="Arial"/>
          <w:color w:val="000000"/>
          <w:sz w:val="22"/>
          <w:szCs w:val="22"/>
        </w:rPr>
        <w:t xml:space="preserve"> </w:t>
      </w:r>
      <w:r w:rsidRPr="002E2FC4">
        <w:rPr>
          <w:rFonts w:ascii="Arial" w:eastAsia="Calibri" w:hAnsi="Arial" w:cs="Arial"/>
          <w:color w:val="000000"/>
          <w:sz w:val="22"/>
          <w:szCs w:val="22"/>
        </w:rPr>
        <w:t>identify</w:t>
      </w:r>
      <w:r w:rsidRPr="002E2FC4">
        <w:rPr>
          <w:rFonts w:ascii="Arial" w:hAnsi="Arial" w:cs="Arial"/>
          <w:color w:val="000000"/>
          <w:sz w:val="22"/>
          <w:szCs w:val="22"/>
        </w:rPr>
        <w:t xml:space="preserve"> </w:t>
      </w:r>
      <w:r w:rsidRPr="002E2FC4">
        <w:rPr>
          <w:rFonts w:ascii="Arial" w:eastAsia="Calibri" w:hAnsi="Arial" w:cs="Arial"/>
          <w:color w:val="000000"/>
          <w:sz w:val="22"/>
          <w:szCs w:val="22"/>
        </w:rPr>
        <w:t>and</w:t>
      </w:r>
      <w:r w:rsidRPr="002E2FC4">
        <w:rPr>
          <w:rFonts w:ascii="Arial" w:hAnsi="Arial" w:cs="Arial"/>
          <w:color w:val="000000"/>
          <w:sz w:val="22"/>
          <w:szCs w:val="22"/>
        </w:rPr>
        <w:t xml:space="preserve"> </w:t>
      </w:r>
      <w:r w:rsidRPr="002E2FC4">
        <w:rPr>
          <w:rFonts w:ascii="Arial" w:eastAsia="Calibri" w:hAnsi="Arial" w:cs="Arial"/>
          <w:color w:val="000000"/>
          <w:sz w:val="22"/>
          <w:szCs w:val="22"/>
        </w:rPr>
        <w:t>build</w:t>
      </w:r>
      <w:r w:rsidRPr="002E2FC4">
        <w:rPr>
          <w:rFonts w:ascii="Arial" w:hAnsi="Arial" w:cs="Arial"/>
          <w:color w:val="000000"/>
          <w:sz w:val="22"/>
          <w:szCs w:val="22"/>
        </w:rPr>
        <w:t xml:space="preserve"> </w:t>
      </w:r>
      <w:r w:rsidRPr="002E2FC4">
        <w:rPr>
          <w:rFonts w:ascii="Arial" w:eastAsia="Calibri" w:hAnsi="Arial" w:cs="Arial"/>
          <w:color w:val="000000"/>
          <w:sz w:val="22"/>
          <w:szCs w:val="22"/>
        </w:rPr>
        <w:t>a</w:t>
      </w:r>
      <w:r w:rsidRPr="002E2FC4">
        <w:rPr>
          <w:rFonts w:ascii="Arial" w:hAnsi="Arial" w:cs="Arial"/>
          <w:color w:val="000000"/>
          <w:sz w:val="22"/>
          <w:szCs w:val="22"/>
        </w:rPr>
        <w:t xml:space="preserve"> </w:t>
      </w:r>
      <w:r w:rsidRPr="002E2FC4">
        <w:rPr>
          <w:rFonts w:ascii="Arial" w:eastAsia="Calibri" w:hAnsi="Arial" w:cs="Arial"/>
          <w:color w:val="000000"/>
          <w:sz w:val="22"/>
          <w:szCs w:val="22"/>
        </w:rPr>
        <w:t>collaborative</w:t>
      </w:r>
      <w:r w:rsidRPr="002E2FC4">
        <w:rPr>
          <w:rFonts w:ascii="Arial" w:hAnsi="Arial" w:cs="Arial"/>
          <w:color w:val="000000"/>
          <w:sz w:val="22"/>
          <w:szCs w:val="22"/>
        </w:rPr>
        <w:t xml:space="preserve"> </w:t>
      </w:r>
      <w:r w:rsidRPr="002E2FC4">
        <w:rPr>
          <w:rFonts w:ascii="Arial" w:eastAsia="Calibri" w:hAnsi="Arial" w:cs="Arial"/>
          <w:color w:val="000000"/>
          <w:sz w:val="22"/>
          <w:szCs w:val="22"/>
        </w:rPr>
        <w:t>understanding</w:t>
      </w:r>
      <w:r w:rsidRPr="002E2FC4">
        <w:rPr>
          <w:rFonts w:ascii="Arial" w:hAnsi="Arial" w:cs="Arial"/>
          <w:color w:val="000000"/>
          <w:sz w:val="22"/>
          <w:szCs w:val="22"/>
        </w:rPr>
        <w:t xml:space="preserve"> </w:t>
      </w:r>
      <w:r w:rsidRPr="002E2FC4">
        <w:rPr>
          <w:rFonts w:ascii="Arial" w:eastAsia="Calibri" w:hAnsi="Arial" w:cs="Arial"/>
          <w:color w:val="000000"/>
          <w:sz w:val="22"/>
          <w:szCs w:val="22"/>
        </w:rPr>
        <w:t>of</w:t>
      </w:r>
      <w:r w:rsidRPr="002E2FC4">
        <w:rPr>
          <w:rFonts w:ascii="Arial" w:hAnsi="Arial" w:cs="Arial"/>
          <w:color w:val="000000"/>
          <w:sz w:val="22"/>
          <w:szCs w:val="22"/>
        </w:rPr>
        <w:t xml:space="preserve"> </w:t>
      </w:r>
      <w:r w:rsidRPr="002E2FC4">
        <w:rPr>
          <w:rFonts w:ascii="Arial" w:eastAsia="Calibri" w:hAnsi="Arial" w:cs="Arial"/>
          <w:color w:val="000000"/>
          <w:sz w:val="22"/>
          <w:szCs w:val="22"/>
        </w:rPr>
        <w:t>the</w:t>
      </w:r>
      <w:r w:rsidRPr="002E2FC4">
        <w:rPr>
          <w:rFonts w:ascii="Arial" w:hAnsi="Arial" w:cs="Arial"/>
          <w:color w:val="000000"/>
          <w:sz w:val="22"/>
          <w:szCs w:val="22"/>
        </w:rPr>
        <w:t xml:space="preserve"> </w:t>
      </w:r>
      <w:r w:rsidRPr="002E2FC4">
        <w:rPr>
          <w:rFonts w:ascii="Arial" w:eastAsia="Calibri" w:hAnsi="Arial" w:cs="Arial"/>
          <w:color w:val="000000"/>
          <w:sz w:val="22"/>
          <w:szCs w:val="22"/>
        </w:rPr>
        <w:t>protective</w:t>
      </w:r>
      <w:r w:rsidRPr="002E2FC4">
        <w:rPr>
          <w:rFonts w:ascii="Arial" w:hAnsi="Arial" w:cs="Arial"/>
          <w:color w:val="000000"/>
          <w:sz w:val="22"/>
          <w:szCs w:val="22"/>
        </w:rPr>
        <w:t xml:space="preserve"> </w:t>
      </w:r>
      <w:r w:rsidRPr="002E2FC4">
        <w:rPr>
          <w:rFonts w:ascii="Arial" w:eastAsia="Calibri" w:hAnsi="Arial" w:cs="Arial"/>
          <w:color w:val="000000"/>
          <w:sz w:val="22"/>
          <w:szCs w:val="22"/>
        </w:rPr>
        <w:t>role</w:t>
      </w:r>
      <w:r w:rsidRPr="002E2FC4">
        <w:rPr>
          <w:rFonts w:ascii="Arial" w:hAnsi="Arial" w:cs="Arial"/>
          <w:color w:val="000000"/>
          <w:sz w:val="22"/>
          <w:szCs w:val="22"/>
        </w:rPr>
        <w:t xml:space="preserve"> </w:t>
      </w:r>
      <w:r w:rsidRPr="002E2FC4">
        <w:rPr>
          <w:rFonts w:ascii="Arial" w:eastAsia="Calibri" w:hAnsi="Arial" w:cs="Arial"/>
          <w:color w:val="000000"/>
          <w:sz w:val="22"/>
          <w:szCs w:val="22"/>
        </w:rPr>
        <w:t>of</w:t>
      </w:r>
      <w:r w:rsidRPr="002E2FC4">
        <w:rPr>
          <w:rFonts w:ascii="Arial" w:hAnsi="Arial" w:cs="Arial"/>
          <w:color w:val="000000"/>
          <w:sz w:val="22"/>
          <w:szCs w:val="22"/>
        </w:rPr>
        <w:t xml:space="preserve"> </w:t>
      </w:r>
      <w:r w:rsidRPr="002E2FC4">
        <w:rPr>
          <w:rFonts w:ascii="Arial" w:eastAsia="Calibri" w:hAnsi="Arial" w:cs="Arial"/>
          <w:color w:val="000000"/>
          <w:sz w:val="22"/>
          <w:szCs w:val="22"/>
        </w:rPr>
        <w:t>education</w:t>
      </w:r>
      <w:r w:rsidRPr="002E2FC4">
        <w:rPr>
          <w:rFonts w:ascii="Arial" w:hAnsi="Arial" w:cs="Arial"/>
          <w:color w:val="000000"/>
          <w:sz w:val="22"/>
          <w:szCs w:val="22"/>
        </w:rPr>
        <w:t xml:space="preserve"> </w:t>
      </w:r>
      <w:r w:rsidR="00FC0955">
        <w:rPr>
          <w:rFonts w:ascii="Arial" w:hAnsi="Arial" w:cs="Arial"/>
          <w:color w:val="000000"/>
          <w:sz w:val="22"/>
          <w:szCs w:val="22"/>
        </w:rPr>
        <w:t xml:space="preserve">in crisis-affected contexts </w:t>
      </w:r>
      <w:r w:rsidRPr="002E2FC4">
        <w:rPr>
          <w:rFonts w:ascii="Arial" w:eastAsia="Calibri" w:hAnsi="Arial" w:cs="Arial"/>
          <w:color w:val="000000"/>
          <w:sz w:val="22"/>
          <w:szCs w:val="22"/>
        </w:rPr>
        <w:t>and</w:t>
      </w:r>
      <w:r w:rsidRPr="002E2FC4">
        <w:rPr>
          <w:rFonts w:ascii="Arial" w:hAnsi="Arial" w:cs="Arial"/>
          <w:color w:val="000000"/>
          <w:sz w:val="22"/>
          <w:szCs w:val="22"/>
        </w:rPr>
        <w:t xml:space="preserve"> </w:t>
      </w:r>
      <w:r w:rsidRPr="002E2FC4">
        <w:rPr>
          <w:rFonts w:ascii="Arial" w:eastAsia="Calibri" w:hAnsi="Arial" w:cs="Arial"/>
          <w:color w:val="000000"/>
          <w:sz w:val="22"/>
          <w:szCs w:val="22"/>
        </w:rPr>
        <w:t>the</w:t>
      </w:r>
      <w:r w:rsidRPr="002E2FC4">
        <w:rPr>
          <w:rFonts w:ascii="Arial" w:hAnsi="Arial" w:cs="Arial"/>
          <w:color w:val="000000"/>
          <w:sz w:val="22"/>
          <w:szCs w:val="22"/>
        </w:rPr>
        <w:t xml:space="preserve"> </w:t>
      </w:r>
      <w:r w:rsidRPr="002E2FC4">
        <w:rPr>
          <w:rFonts w:ascii="Arial" w:eastAsia="Calibri" w:hAnsi="Arial" w:cs="Arial"/>
          <w:color w:val="000000"/>
          <w:sz w:val="22"/>
          <w:szCs w:val="22"/>
        </w:rPr>
        <w:t>core</w:t>
      </w:r>
      <w:r w:rsidRPr="002E2FC4">
        <w:rPr>
          <w:rFonts w:ascii="Arial" w:hAnsi="Arial" w:cs="Arial"/>
          <w:color w:val="000000"/>
          <w:sz w:val="22"/>
          <w:szCs w:val="22"/>
        </w:rPr>
        <w:t xml:space="preserve"> </w:t>
      </w:r>
      <w:r w:rsidRPr="002E2FC4">
        <w:rPr>
          <w:rFonts w:ascii="Arial" w:eastAsia="Calibri" w:hAnsi="Arial" w:cs="Arial"/>
          <w:color w:val="000000"/>
          <w:sz w:val="22"/>
          <w:szCs w:val="22"/>
        </w:rPr>
        <w:t>ingredients</w:t>
      </w:r>
      <w:r w:rsidRPr="002E2FC4">
        <w:rPr>
          <w:rFonts w:ascii="Arial" w:hAnsi="Arial" w:cs="Arial"/>
          <w:color w:val="000000"/>
          <w:sz w:val="22"/>
          <w:szCs w:val="22"/>
        </w:rPr>
        <w:t xml:space="preserve"> </w:t>
      </w:r>
      <w:r w:rsidRPr="002E2FC4">
        <w:rPr>
          <w:rFonts w:ascii="Arial" w:eastAsia="Calibri" w:hAnsi="Arial" w:cs="Arial"/>
          <w:color w:val="000000"/>
          <w:sz w:val="22"/>
          <w:szCs w:val="22"/>
        </w:rPr>
        <w:t>necessary</w:t>
      </w:r>
      <w:r w:rsidRPr="002E2FC4">
        <w:rPr>
          <w:rFonts w:ascii="Arial" w:hAnsi="Arial" w:cs="Arial"/>
          <w:color w:val="000000"/>
          <w:sz w:val="22"/>
          <w:szCs w:val="22"/>
        </w:rPr>
        <w:t xml:space="preserve"> </w:t>
      </w:r>
      <w:r w:rsidRPr="002E2FC4">
        <w:rPr>
          <w:rFonts w:ascii="Arial" w:eastAsia="Calibri" w:hAnsi="Arial" w:cs="Arial"/>
          <w:color w:val="000000"/>
          <w:sz w:val="22"/>
          <w:szCs w:val="22"/>
        </w:rPr>
        <w:t>for</w:t>
      </w:r>
      <w:r w:rsidRPr="002E2FC4">
        <w:rPr>
          <w:rFonts w:ascii="Arial" w:hAnsi="Arial" w:cs="Arial"/>
          <w:color w:val="000000"/>
          <w:sz w:val="22"/>
          <w:szCs w:val="22"/>
        </w:rPr>
        <w:t xml:space="preserve"> </w:t>
      </w:r>
      <w:r w:rsidRPr="002E2FC4">
        <w:rPr>
          <w:rFonts w:ascii="Arial" w:eastAsia="Calibri" w:hAnsi="Arial" w:cs="Arial"/>
          <w:color w:val="000000"/>
          <w:sz w:val="22"/>
          <w:szCs w:val="22"/>
        </w:rPr>
        <w:t>strengthening</w:t>
      </w:r>
      <w:r w:rsidRPr="002E2FC4">
        <w:rPr>
          <w:rFonts w:ascii="Arial" w:hAnsi="Arial" w:cs="Arial"/>
          <w:color w:val="000000"/>
          <w:sz w:val="22"/>
          <w:szCs w:val="22"/>
        </w:rPr>
        <w:t xml:space="preserve"> </w:t>
      </w:r>
      <w:r w:rsidRPr="002E2FC4">
        <w:rPr>
          <w:rFonts w:ascii="Arial" w:eastAsia="Calibri" w:hAnsi="Arial" w:cs="Arial"/>
          <w:color w:val="000000"/>
          <w:sz w:val="22"/>
          <w:szCs w:val="22"/>
        </w:rPr>
        <w:t>protection</w:t>
      </w:r>
      <w:r w:rsidRPr="002E2FC4">
        <w:rPr>
          <w:rFonts w:ascii="Arial" w:hAnsi="Arial" w:cs="Arial"/>
          <w:color w:val="000000"/>
          <w:sz w:val="22"/>
          <w:szCs w:val="22"/>
        </w:rPr>
        <w:t xml:space="preserve"> </w:t>
      </w:r>
      <w:r w:rsidR="005D038A">
        <w:rPr>
          <w:rFonts w:ascii="Arial" w:hAnsi="Arial" w:cs="Arial"/>
          <w:color w:val="000000"/>
          <w:sz w:val="22"/>
          <w:szCs w:val="22"/>
        </w:rPr>
        <w:t xml:space="preserve">in </w:t>
      </w:r>
      <w:r w:rsidR="005D038A">
        <w:rPr>
          <w:rFonts w:ascii="Arial" w:eastAsia="Calibri" w:hAnsi="Arial" w:cs="Arial"/>
          <w:color w:val="000000"/>
          <w:sz w:val="22"/>
          <w:szCs w:val="22"/>
        </w:rPr>
        <w:t>humanitarian response</w:t>
      </w:r>
      <w:r w:rsidRPr="002E2FC4">
        <w:rPr>
          <w:rFonts w:ascii="Arial" w:hAnsi="Arial" w:cs="Arial"/>
          <w:color w:val="000000"/>
          <w:sz w:val="22"/>
          <w:szCs w:val="22"/>
        </w:rPr>
        <w:t xml:space="preserve">. </w:t>
      </w:r>
      <w:r w:rsidR="00FC0955">
        <w:rPr>
          <w:rFonts w:ascii="Arial" w:hAnsi="Arial" w:cs="Arial"/>
          <w:color w:val="000000"/>
          <w:sz w:val="22"/>
          <w:szCs w:val="22"/>
        </w:rPr>
        <w:t xml:space="preserve">Documents </w:t>
      </w:r>
      <w:r w:rsidR="005D038A">
        <w:rPr>
          <w:rFonts w:ascii="Arial" w:hAnsi="Arial" w:cs="Arial"/>
          <w:color w:val="000000"/>
          <w:sz w:val="22"/>
          <w:szCs w:val="22"/>
        </w:rPr>
        <w:t xml:space="preserve">on the theme of “protection” </w:t>
      </w:r>
      <w:r w:rsidR="00FC0955">
        <w:rPr>
          <w:rFonts w:ascii="Arial" w:hAnsi="Arial" w:cs="Arial"/>
          <w:color w:val="000000"/>
          <w:sz w:val="22"/>
          <w:szCs w:val="22"/>
        </w:rPr>
        <w:t xml:space="preserve">were drawn from the literature base of the education and emergencies (EiE) and child protection (CP) fields. </w:t>
      </w:r>
      <w:r w:rsidRPr="002E2FC4">
        <w:rPr>
          <w:rFonts w:ascii="Arial" w:eastAsia="Calibri" w:hAnsi="Arial" w:cs="Arial"/>
          <w:color w:val="000000"/>
          <w:sz w:val="22"/>
          <w:szCs w:val="22"/>
        </w:rPr>
        <w:t>A</w:t>
      </w:r>
      <w:r w:rsidRPr="002E2FC4">
        <w:rPr>
          <w:rFonts w:ascii="Arial" w:hAnsi="Arial" w:cs="Arial"/>
          <w:color w:val="000000"/>
          <w:sz w:val="22"/>
          <w:szCs w:val="22"/>
        </w:rPr>
        <w:t xml:space="preserve"> </w:t>
      </w:r>
      <w:r w:rsidRPr="002E2FC4">
        <w:rPr>
          <w:rFonts w:ascii="Arial" w:eastAsia="Calibri" w:hAnsi="Arial" w:cs="Arial"/>
          <w:color w:val="000000"/>
          <w:sz w:val="22"/>
          <w:szCs w:val="22"/>
        </w:rPr>
        <w:t>preliminary</w:t>
      </w:r>
      <w:r w:rsidRPr="002E2FC4">
        <w:rPr>
          <w:rFonts w:ascii="Arial" w:hAnsi="Arial" w:cs="Arial"/>
          <w:color w:val="000000"/>
          <w:sz w:val="22"/>
          <w:szCs w:val="22"/>
        </w:rPr>
        <w:t xml:space="preserve"> </w:t>
      </w:r>
      <w:r w:rsidRPr="002E2FC4">
        <w:rPr>
          <w:rFonts w:ascii="Arial" w:eastAsia="Calibri" w:hAnsi="Arial" w:cs="Arial"/>
          <w:color w:val="000000"/>
          <w:sz w:val="22"/>
          <w:szCs w:val="22"/>
        </w:rPr>
        <w:t>list</w:t>
      </w:r>
      <w:r w:rsidRPr="002E2FC4">
        <w:rPr>
          <w:rFonts w:ascii="Arial" w:hAnsi="Arial" w:cs="Arial"/>
          <w:color w:val="000000"/>
          <w:sz w:val="22"/>
          <w:szCs w:val="22"/>
        </w:rPr>
        <w:t xml:space="preserve"> </w:t>
      </w:r>
      <w:r w:rsidR="00FC0955">
        <w:rPr>
          <w:rFonts w:ascii="Arial" w:hAnsi="Arial" w:cs="Arial"/>
          <w:color w:val="000000"/>
          <w:sz w:val="22"/>
          <w:szCs w:val="22"/>
        </w:rPr>
        <w:t xml:space="preserve">of articles </w:t>
      </w:r>
      <w:r w:rsidRPr="002E2FC4">
        <w:rPr>
          <w:rFonts w:ascii="Arial" w:eastAsia="Calibri" w:hAnsi="Arial" w:cs="Arial"/>
          <w:color w:val="000000"/>
          <w:sz w:val="22"/>
          <w:szCs w:val="22"/>
        </w:rPr>
        <w:t>was</w:t>
      </w:r>
      <w:r w:rsidRPr="002E2FC4">
        <w:rPr>
          <w:rFonts w:ascii="Arial" w:hAnsi="Arial" w:cs="Arial"/>
          <w:color w:val="000000"/>
          <w:sz w:val="22"/>
          <w:szCs w:val="22"/>
        </w:rPr>
        <w:t xml:space="preserve"> </w:t>
      </w:r>
      <w:r w:rsidRPr="002E2FC4">
        <w:rPr>
          <w:rFonts w:ascii="Arial" w:eastAsia="Calibri" w:hAnsi="Arial" w:cs="Arial"/>
          <w:color w:val="000000"/>
          <w:sz w:val="22"/>
          <w:szCs w:val="22"/>
        </w:rPr>
        <w:t>identified</w:t>
      </w:r>
      <w:r w:rsidR="00FC0955">
        <w:rPr>
          <w:rFonts w:ascii="Arial" w:eastAsia="Calibri" w:hAnsi="Arial" w:cs="Arial"/>
          <w:color w:val="000000"/>
          <w:sz w:val="22"/>
          <w:szCs w:val="22"/>
        </w:rPr>
        <w:t xml:space="preserve"> through suggestions from members of the INEE Advocacy Working Group and the CP Alliance for Humanitarian Actio</w:t>
      </w:r>
      <w:r w:rsidR="005D038A">
        <w:rPr>
          <w:rFonts w:ascii="Arial" w:eastAsia="Calibri" w:hAnsi="Arial" w:cs="Arial"/>
          <w:color w:val="000000"/>
          <w:sz w:val="22"/>
          <w:szCs w:val="22"/>
        </w:rPr>
        <w:t>n. Further articles were sourced</w:t>
      </w:r>
      <w:r w:rsidR="00FC0955">
        <w:rPr>
          <w:rFonts w:ascii="Arial" w:eastAsia="Calibri" w:hAnsi="Arial" w:cs="Arial"/>
          <w:color w:val="000000"/>
          <w:sz w:val="22"/>
          <w:szCs w:val="22"/>
        </w:rPr>
        <w:t xml:space="preserve"> from education research databases, using the key search terms. </w:t>
      </w:r>
      <w:r w:rsidR="005D038A">
        <w:rPr>
          <w:rFonts w:ascii="Arial" w:eastAsia="Calibri" w:hAnsi="Arial" w:cs="Arial"/>
          <w:color w:val="000000"/>
          <w:sz w:val="22"/>
          <w:szCs w:val="22"/>
        </w:rPr>
        <w:t>Critical assessment through snowballing yielded further articles.</w:t>
      </w:r>
    </w:p>
    <w:p w14:paraId="02829467" w14:textId="51910972" w:rsidR="005D038A" w:rsidRPr="002E2FC4" w:rsidRDefault="008370FF" w:rsidP="005D038A">
      <w:pPr>
        <w:spacing w:before="320" w:after="80" w:line="276" w:lineRule="auto"/>
        <w:outlineLvl w:val="2"/>
        <w:rPr>
          <w:rFonts w:ascii="Arial" w:eastAsia="Times New Roman" w:hAnsi="Arial" w:cs="Arial"/>
          <w:b/>
          <w:bCs/>
          <w:color w:val="000000" w:themeColor="text1"/>
        </w:rPr>
      </w:pPr>
      <w:r>
        <w:rPr>
          <w:rFonts w:ascii="Arial" w:eastAsia="Times New Roman" w:hAnsi="Arial" w:cs="Arial"/>
          <w:b/>
          <w:bCs/>
          <w:color w:val="000000" w:themeColor="text1"/>
        </w:rPr>
        <w:t xml:space="preserve">2. </w:t>
      </w:r>
      <w:r w:rsidR="005D038A">
        <w:rPr>
          <w:rFonts w:ascii="Arial" w:eastAsia="Times New Roman" w:hAnsi="Arial" w:cs="Arial"/>
          <w:b/>
          <w:bCs/>
          <w:color w:val="000000" w:themeColor="text1"/>
        </w:rPr>
        <w:t>Criteria for Article Selection</w:t>
      </w:r>
    </w:p>
    <w:p w14:paraId="0EC7CB77" w14:textId="4BAF5B01" w:rsidR="00CB69C5" w:rsidRDefault="005D038A" w:rsidP="000731AF">
      <w:pPr>
        <w:spacing w:line="276" w:lineRule="auto"/>
        <w:rPr>
          <w:rFonts w:ascii="Arial" w:eastAsia="Calibri" w:hAnsi="Arial" w:cs="Arial"/>
          <w:color w:val="000000"/>
          <w:sz w:val="22"/>
          <w:szCs w:val="22"/>
        </w:rPr>
      </w:pPr>
      <w:r>
        <w:rPr>
          <w:rFonts w:ascii="Arial" w:eastAsia="Calibri" w:hAnsi="Arial" w:cs="Arial"/>
          <w:color w:val="000000"/>
          <w:sz w:val="22"/>
          <w:szCs w:val="22"/>
        </w:rPr>
        <w:t>The aim of the larger universe of articles selected was that it be representative of the EiE and CP fields today, and useful to show the interconnection</w:t>
      </w:r>
      <w:r w:rsidR="00404FEF">
        <w:rPr>
          <w:rFonts w:ascii="Arial" w:eastAsia="Calibri" w:hAnsi="Arial" w:cs="Arial"/>
          <w:color w:val="000000"/>
          <w:sz w:val="22"/>
          <w:szCs w:val="22"/>
        </w:rPr>
        <w:t xml:space="preserve">s </w:t>
      </w:r>
      <w:r>
        <w:rPr>
          <w:rFonts w:ascii="Arial" w:eastAsia="Calibri" w:hAnsi="Arial" w:cs="Arial"/>
          <w:color w:val="000000"/>
          <w:sz w:val="22"/>
          <w:szCs w:val="22"/>
        </w:rPr>
        <w:t>under the “protection” theme. Articles had to be published after 2004 to reflect current practices, changes in appr</w:t>
      </w:r>
      <w:r w:rsidR="00404FEF">
        <w:rPr>
          <w:rFonts w:ascii="Arial" w:eastAsia="Calibri" w:hAnsi="Arial" w:cs="Arial"/>
          <w:color w:val="000000"/>
          <w:sz w:val="22"/>
          <w:szCs w:val="22"/>
        </w:rPr>
        <w:t>oaches and research findings. The final sample</w:t>
      </w:r>
      <w:r>
        <w:rPr>
          <w:rFonts w:ascii="Arial" w:eastAsia="Calibri" w:hAnsi="Arial" w:cs="Arial"/>
          <w:color w:val="000000"/>
          <w:sz w:val="22"/>
          <w:szCs w:val="22"/>
        </w:rPr>
        <w:t xml:space="preserve"> should </w:t>
      </w:r>
      <w:r w:rsidR="00404FEF">
        <w:rPr>
          <w:rFonts w:ascii="Arial" w:eastAsia="Calibri" w:hAnsi="Arial" w:cs="Arial"/>
          <w:color w:val="000000"/>
          <w:sz w:val="22"/>
          <w:szCs w:val="22"/>
        </w:rPr>
        <w:t xml:space="preserve">also </w:t>
      </w:r>
      <w:r>
        <w:rPr>
          <w:rFonts w:ascii="Arial" w:eastAsia="Calibri" w:hAnsi="Arial" w:cs="Arial"/>
          <w:color w:val="000000"/>
          <w:sz w:val="22"/>
          <w:szCs w:val="22"/>
        </w:rPr>
        <w:t>include a broad range of literature including foundational documents that frame the CP and EiE f</w:t>
      </w:r>
      <w:r w:rsidR="008370FF">
        <w:rPr>
          <w:rFonts w:ascii="Arial" w:eastAsia="Calibri" w:hAnsi="Arial" w:cs="Arial"/>
          <w:color w:val="000000"/>
          <w:sz w:val="22"/>
          <w:szCs w:val="22"/>
        </w:rPr>
        <w:t>ields (latest iterations), fram</w:t>
      </w:r>
      <w:r>
        <w:rPr>
          <w:rFonts w:ascii="Arial" w:eastAsia="Calibri" w:hAnsi="Arial" w:cs="Arial"/>
          <w:color w:val="000000"/>
          <w:sz w:val="22"/>
          <w:szCs w:val="22"/>
        </w:rPr>
        <w:t xml:space="preserve">ing documents/position papers of major players, grey literature, </w:t>
      </w:r>
      <w:r w:rsidR="008370FF">
        <w:rPr>
          <w:rFonts w:ascii="Arial" w:eastAsia="Calibri" w:hAnsi="Arial" w:cs="Arial"/>
          <w:color w:val="000000"/>
          <w:sz w:val="22"/>
          <w:szCs w:val="22"/>
        </w:rPr>
        <w:t xml:space="preserve">salient </w:t>
      </w:r>
      <w:r>
        <w:rPr>
          <w:rFonts w:ascii="Arial" w:eastAsia="Calibri" w:hAnsi="Arial" w:cs="Arial"/>
          <w:color w:val="000000"/>
          <w:sz w:val="22"/>
          <w:szCs w:val="22"/>
        </w:rPr>
        <w:t>academic research</w:t>
      </w:r>
      <w:r w:rsidR="008F69B8">
        <w:rPr>
          <w:rFonts w:ascii="Arial" w:eastAsia="Calibri" w:hAnsi="Arial" w:cs="Arial"/>
          <w:color w:val="000000"/>
          <w:sz w:val="22"/>
          <w:szCs w:val="22"/>
        </w:rPr>
        <w:t xml:space="preserve"> in peer-review journals</w:t>
      </w:r>
      <w:r>
        <w:rPr>
          <w:rFonts w:ascii="Arial" w:eastAsia="Calibri" w:hAnsi="Arial" w:cs="Arial"/>
          <w:color w:val="000000"/>
          <w:sz w:val="22"/>
          <w:szCs w:val="22"/>
        </w:rPr>
        <w:t>,</w:t>
      </w:r>
      <w:r w:rsidR="008F69B8">
        <w:rPr>
          <w:rFonts w:ascii="Arial" w:eastAsia="Calibri" w:hAnsi="Arial" w:cs="Arial"/>
          <w:color w:val="000000"/>
          <w:sz w:val="22"/>
          <w:szCs w:val="22"/>
        </w:rPr>
        <w:t xml:space="preserve"> and reports from NGOs and inter-governmental organizations. </w:t>
      </w:r>
      <w:r w:rsidR="00CB69C5">
        <w:rPr>
          <w:rFonts w:ascii="Arial" w:eastAsia="Calibri" w:hAnsi="Arial" w:cs="Arial"/>
          <w:color w:val="000000"/>
          <w:sz w:val="22"/>
          <w:szCs w:val="22"/>
        </w:rPr>
        <w:t xml:space="preserve">A total of 25 articles on standards and guidance, and 35 </w:t>
      </w:r>
      <w:r w:rsidR="007A0E97">
        <w:rPr>
          <w:rFonts w:ascii="Arial" w:eastAsia="Calibri" w:hAnsi="Arial" w:cs="Arial"/>
          <w:color w:val="000000"/>
          <w:sz w:val="22"/>
          <w:szCs w:val="22"/>
        </w:rPr>
        <w:t xml:space="preserve">articles from </w:t>
      </w:r>
      <w:r w:rsidR="00CB69C5">
        <w:rPr>
          <w:rFonts w:ascii="Arial" w:eastAsia="Calibri" w:hAnsi="Arial" w:cs="Arial"/>
          <w:color w:val="000000"/>
          <w:sz w:val="22"/>
          <w:szCs w:val="22"/>
        </w:rPr>
        <w:t>academic research and grey literature, were identified</w:t>
      </w:r>
      <w:r w:rsidR="008F69B8">
        <w:rPr>
          <w:rFonts w:ascii="Arial" w:eastAsia="Calibri" w:hAnsi="Arial" w:cs="Arial"/>
          <w:color w:val="000000"/>
          <w:sz w:val="22"/>
          <w:szCs w:val="22"/>
        </w:rPr>
        <w:t>, total</w:t>
      </w:r>
      <w:r w:rsidR="00404FEF">
        <w:rPr>
          <w:rFonts w:ascii="Arial" w:eastAsia="Calibri" w:hAnsi="Arial" w:cs="Arial"/>
          <w:color w:val="000000"/>
          <w:sz w:val="22"/>
          <w:szCs w:val="22"/>
        </w:rPr>
        <w:t>ing</w:t>
      </w:r>
      <w:r w:rsidR="008F69B8">
        <w:rPr>
          <w:rFonts w:ascii="Arial" w:eastAsia="Calibri" w:hAnsi="Arial" w:cs="Arial"/>
          <w:color w:val="000000"/>
          <w:sz w:val="22"/>
          <w:szCs w:val="22"/>
        </w:rPr>
        <w:t xml:space="preserve"> 60 articles.</w:t>
      </w:r>
    </w:p>
    <w:p w14:paraId="0F888CC8" w14:textId="77777777" w:rsidR="00CB69C5" w:rsidRDefault="00CB69C5" w:rsidP="000731AF">
      <w:pPr>
        <w:spacing w:line="276" w:lineRule="auto"/>
        <w:rPr>
          <w:rFonts w:ascii="Arial" w:eastAsia="Calibri" w:hAnsi="Arial" w:cs="Arial"/>
          <w:color w:val="000000"/>
          <w:sz w:val="22"/>
          <w:szCs w:val="22"/>
        </w:rPr>
      </w:pPr>
    </w:p>
    <w:p w14:paraId="767307D3" w14:textId="3BAD479D" w:rsidR="008F69B8" w:rsidRDefault="008F69B8" w:rsidP="000731AF">
      <w:pPr>
        <w:spacing w:line="276" w:lineRule="auto"/>
        <w:rPr>
          <w:rFonts w:ascii="Arial" w:hAnsi="Arial" w:cs="Arial"/>
          <w:color w:val="000000"/>
          <w:sz w:val="22"/>
          <w:szCs w:val="22"/>
        </w:rPr>
      </w:pPr>
      <w:r>
        <w:rPr>
          <w:rFonts w:ascii="Arial" w:hAnsi="Arial" w:cs="Arial"/>
          <w:color w:val="000000"/>
          <w:sz w:val="22"/>
          <w:szCs w:val="22"/>
        </w:rPr>
        <w:t>Given the time and resources allotted to the project, the final list of articles had to be narrowed further. The criteria for the final selection was made with the following criteria:</w:t>
      </w:r>
    </w:p>
    <w:p w14:paraId="01A12B6E" w14:textId="77777777" w:rsidR="008F69B8" w:rsidRDefault="008F69B8" w:rsidP="000731AF">
      <w:pPr>
        <w:spacing w:line="276" w:lineRule="auto"/>
        <w:rPr>
          <w:rFonts w:ascii="Arial" w:hAnsi="Arial" w:cs="Arial"/>
          <w:color w:val="000000"/>
          <w:sz w:val="22"/>
          <w:szCs w:val="22"/>
        </w:rPr>
      </w:pPr>
    </w:p>
    <w:p w14:paraId="6B5D5740" w14:textId="77777777" w:rsidR="008F69B8" w:rsidRPr="008F69B8" w:rsidRDefault="008F69B8" w:rsidP="008F69B8">
      <w:pPr>
        <w:spacing w:line="276" w:lineRule="auto"/>
        <w:rPr>
          <w:rFonts w:ascii="Arial" w:hAnsi="Arial" w:cs="Arial"/>
          <w:color w:val="000000"/>
          <w:sz w:val="22"/>
          <w:szCs w:val="22"/>
        </w:rPr>
      </w:pPr>
      <w:r w:rsidRPr="008F69B8">
        <w:rPr>
          <w:rFonts w:ascii="Arial" w:hAnsi="Arial" w:cs="Arial"/>
          <w:color w:val="000000"/>
          <w:sz w:val="22"/>
          <w:szCs w:val="22"/>
        </w:rPr>
        <w:t>1) Include a wide range of thematic areas - as inclusive as possible</w:t>
      </w:r>
    </w:p>
    <w:p w14:paraId="76E93153" w14:textId="7783054C" w:rsidR="008F69B8" w:rsidRPr="008F69B8" w:rsidRDefault="008F69B8" w:rsidP="008F69B8">
      <w:pPr>
        <w:spacing w:line="276" w:lineRule="auto"/>
        <w:rPr>
          <w:rFonts w:ascii="Arial" w:hAnsi="Arial" w:cs="Arial"/>
          <w:color w:val="000000"/>
          <w:sz w:val="22"/>
          <w:szCs w:val="22"/>
        </w:rPr>
      </w:pPr>
      <w:r w:rsidRPr="008F69B8">
        <w:rPr>
          <w:rFonts w:ascii="Arial" w:hAnsi="Arial" w:cs="Arial"/>
          <w:color w:val="000000"/>
          <w:sz w:val="22"/>
          <w:szCs w:val="22"/>
        </w:rPr>
        <w:t>2) Incl</w:t>
      </w:r>
      <w:r>
        <w:rPr>
          <w:rFonts w:ascii="Arial" w:hAnsi="Arial" w:cs="Arial"/>
          <w:color w:val="000000"/>
          <w:sz w:val="22"/>
          <w:szCs w:val="22"/>
        </w:rPr>
        <w:t>ude a wide range of geographic</w:t>
      </w:r>
      <w:r w:rsidRPr="008F69B8">
        <w:rPr>
          <w:rFonts w:ascii="Arial" w:hAnsi="Arial" w:cs="Arial"/>
          <w:color w:val="000000"/>
          <w:sz w:val="22"/>
          <w:szCs w:val="22"/>
        </w:rPr>
        <w:t xml:space="preserve"> areas and types</w:t>
      </w:r>
      <w:r>
        <w:rPr>
          <w:rFonts w:ascii="Arial" w:hAnsi="Arial" w:cs="Arial"/>
          <w:color w:val="000000"/>
          <w:sz w:val="22"/>
          <w:szCs w:val="22"/>
        </w:rPr>
        <w:t xml:space="preserve"> of literature</w:t>
      </w:r>
    </w:p>
    <w:p w14:paraId="6B163FC0" w14:textId="77777777" w:rsidR="008F69B8" w:rsidRPr="008F69B8" w:rsidRDefault="008F69B8" w:rsidP="008F69B8">
      <w:pPr>
        <w:spacing w:line="276" w:lineRule="auto"/>
        <w:rPr>
          <w:rFonts w:ascii="Arial" w:hAnsi="Arial" w:cs="Arial"/>
          <w:color w:val="000000"/>
          <w:sz w:val="22"/>
          <w:szCs w:val="22"/>
        </w:rPr>
      </w:pPr>
      <w:r w:rsidRPr="008F69B8">
        <w:rPr>
          <w:rFonts w:ascii="Arial" w:hAnsi="Arial" w:cs="Arial"/>
          <w:color w:val="000000"/>
          <w:sz w:val="22"/>
          <w:szCs w:val="22"/>
        </w:rPr>
        <w:t>3) Prioritize latest documents</w:t>
      </w:r>
    </w:p>
    <w:p w14:paraId="38D0CC7A" w14:textId="588210C1" w:rsidR="008F69B8" w:rsidRDefault="008F69B8" w:rsidP="000731AF">
      <w:pPr>
        <w:spacing w:line="276" w:lineRule="auto"/>
        <w:rPr>
          <w:rFonts w:ascii="Arial" w:hAnsi="Arial" w:cs="Arial"/>
          <w:color w:val="000000"/>
          <w:sz w:val="22"/>
          <w:szCs w:val="22"/>
        </w:rPr>
      </w:pPr>
      <w:r w:rsidRPr="008F69B8">
        <w:rPr>
          <w:rFonts w:ascii="Arial" w:hAnsi="Arial" w:cs="Arial"/>
          <w:color w:val="000000"/>
          <w:sz w:val="22"/>
          <w:szCs w:val="22"/>
        </w:rPr>
        <w:t>4) Equal representation of both the child protection and education sector</w:t>
      </w:r>
    </w:p>
    <w:p w14:paraId="6870FFC3" w14:textId="77777777" w:rsidR="007A0E97" w:rsidRDefault="007A0E97" w:rsidP="000731AF">
      <w:pPr>
        <w:spacing w:line="276" w:lineRule="auto"/>
        <w:rPr>
          <w:rFonts w:ascii="Arial" w:hAnsi="Arial" w:cs="Arial"/>
          <w:color w:val="000000"/>
          <w:sz w:val="22"/>
          <w:szCs w:val="22"/>
        </w:rPr>
      </w:pPr>
    </w:p>
    <w:p w14:paraId="5210DD2A" w14:textId="4C5B9966" w:rsidR="007A0E97" w:rsidRDefault="00404FEF" w:rsidP="000731AF">
      <w:pPr>
        <w:spacing w:line="276" w:lineRule="auto"/>
        <w:rPr>
          <w:rFonts w:ascii="Arial" w:hAnsi="Arial" w:cs="Arial"/>
          <w:color w:val="000000"/>
          <w:sz w:val="22"/>
          <w:szCs w:val="22"/>
        </w:rPr>
      </w:pPr>
      <w:r>
        <w:rPr>
          <w:rFonts w:ascii="Arial" w:hAnsi="Arial" w:cs="Arial"/>
          <w:color w:val="000000"/>
          <w:sz w:val="22"/>
          <w:szCs w:val="22"/>
        </w:rPr>
        <w:t xml:space="preserve">From the 60 articles, </w:t>
      </w:r>
      <w:r w:rsidR="008370FF">
        <w:rPr>
          <w:rFonts w:ascii="Arial" w:hAnsi="Arial" w:cs="Arial"/>
          <w:color w:val="000000"/>
          <w:sz w:val="22"/>
          <w:szCs w:val="22"/>
        </w:rPr>
        <w:t>32</w:t>
      </w:r>
      <w:r w:rsidR="007A0E97" w:rsidRPr="007A0E97">
        <w:rPr>
          <w:rFonts w:ascii="Arial" w:hAnsi="Arial" w:cs="Arial"/>
          <w:color w:val="000000"/>
          <w:sz w:val="22"/>
          <w:szCs w:val="22"/>
        </w:rPr>
        <w:t xml:space="preserve"> articles were selected. </w:t>
      </w:r>
      <w:r w:rsidR="008370FF">
        <w:rPr>
          <w:rFonts w:ascii="Arial" w:hAnsi="Arial" w:cs="Arial"/>
          <w:color w:val="000000"/>
          <w:sz w:val="22"/>
          <w:szCs w:val="22"/>
        </w:rPr>
        <w:t xml:space="preserve">This list was circulated for validation to members of the INEE Advocacy Working Group and CP Alliance for Humanitarian Action </w:t>
      </w:r>
      <w:r>
        <w:rPr>
          <w:rFonts w:ascii="Arial" w:hAnsi="Arial" w:cs="Arial"/>
          <w:color w:val="000000"/>
          <w:sz w:val="22"/>
          <w:szCs w:val="22"/>
        </w:rPr>
        <w:t xml:space="preserve">who </w:t>
      </w:r>
      <w:r w:rsidR="008370FF">
        <w:rPr>
          <w:rFonts w:ascii="Arial" w:hAnsi="Arial" w:cs="Arial"/>
          <w:color w:val="000000"/>
          <w:sz w:val="22"/>
          <w:szCs w:val="22"/>
        </w:rPr>
        <w:t xml:space="preserve">had expressed interest in supporting the project and contributed article suggestions. From this vetting process, three more articles were suggested and included in the final list for review which brought the </w:t>
      </w:r>
      <w:r>
        <w:rPr>
          <w:rFonts w:ascii="Arial" w:hAnsi="Arial" w:cs="Arial"/>
          <w:color w:val="000000"/>
          <w:sz w:val="22"/>
          <w:szCs w:val="22"/>
        </w:rPr>
        <w:t>total</w:t>
      </w:r>
      <w:r w:rsidR="008370FF">
        <w:rPr>
          <w:rFonts w:ascii="Arial" w:hAnsi="Arial" w:cs="Arial"/>
          <w:color w:val="000000"/>
          <w:sz w:val="22"/>
          <w:szCs w:val="22"/>
        </w:rPr>
        <w:t xml:space="preserve"> list of articles to 35. </w:t>
      </w:r>
      <w:r w:rsidR="007A0E97" w:rsidRPr="007A0E97">
        <w:rPr>
          <w:rFonts w:ascii="Arial" w:hAnsi="Arial" w:cs="Arial"/>
          <w:color w:val="000000"/>
          <w:sz w:val="22"/>
          <w:szCs w:val="22"/>
        </w:rPr>
        <w:t xml:space="preserve">This included 17 </w:t>
      </w:r>
      <w:r w:rsidR="008370FF">
        <w:rPr>
          <w:rFonts w:ascii="Arial" w:hAnsi="Arial" w:cs="Arial"/>
          <w:color w:val="000000"/>
          <w:sz w:val="22"/>
          <w:szCs w:val="22"/>
        </w:rPr>
        <w:t xml:space="preserve">pieces of </w:t>
      </w:r>
      <w:r w:rsidR="007A0E97" w:rsidRPr="007A0E97">
        <w:rPr>
          <w:rFonts w:ascii="Arial" w:hAnsi="Arial" w:cs="Arial"/>
          <w:color w:val="000000"/>
          <w:sz w:val="22"/>
          <w:szCs w:val="22"/>
        </w:rPr>
        <w:t xml:space="preserve">standards and guidelines, 10 </w:t>
      </w:r>
      <w:r w:rsidR="008370FF">
        <w:rPr>
          <w:rFonts w:ascii="Arial" w:hAnsi="Arial" w:cs="Arial"/>
          <w:color w:val="000000"/>
          <w:sz w:val="22"/>
          <w:szCs w:val="22"/>
        </w:rPr>
        <w:t xml:space="preserve">pieces of </w:t>
      </w:r>
      <w:r w:rsidR="007A0E97" w:rsidRPr="007A0E97">
        <w:rPr>
          <w:rFonts w:ascii="Arial" w:hAnsi="Arial" w:cs="Arial"/>
          <w:color w:val="000000"/>
          <w:sz w:val="22"/>
          <w:szCs w:val="22"/>
        </w:rPr>
        <w:t xml:space="preserve">academic literature, and 8 </w:t>
      </w:r>
      <w:r w:rsidR="008370FF">
        <w:rPr>
          <w:rFonts w:ascii="Arial" w:hAnsi="Arial" w:cs="Arial"/>
          <w:color w:val="000000"/>
          <w:sz w:val="22"/>
          <w:szCs w:val="22"/>
        </w:rPr>
        <w:t xml:space="preserve">pieces of </w:t>
      </w:r>
      <w:r w:rsidR="007A0E97" w:rsidRPr="007A0E97">
        <w:rPr>
          <w:rFonts w:ascii="Arial" w:hAnsi="Arial" w:cs="Arial"/>
          <w:color w:val="000000"/>
          <w:sz w:val="22"/>
          <w:szCs w:val="22"/>
        </w:rPr>
        <w:t xml:space="preserve">grey literature. </w:t>
      </w:r>
    </w:p>
    <w:p w14:paraId="416DDBFA" w14:textId="44243F55" w:rsidR="008370FF" w:rsidRPr="002E2FC4" w:rsidRDefault="008370FF" w:rsidP="008370FF">
      <w:pPr>
        <w:spacing w:before="320" w:after="80" w:line="276" w:lineRule="auto"/>
        <w:outlineLvl w:val="2"/>
        <w:rPr>
          <w:rFonts w:ascii="Arial" w:eastAsia="Times New Roman" w:hAnsi="Arial" w:cs="Arial"/>
          <w:b/>
          <w:bCs/>
          <w:color w:val="000000" w:themeColor="text1"/>
        </w:rPr>
      </w:pPr>
      <w:r>
        <w:rPr>
          <w:rFonts w:ascii="Arial" w:eastAsia="Times New Roman" w:hAnsi="Arial" w:cs="Arial"/>
          <w:b/>
          <w:bCs/>
          <w:color w:val="000000" w:themeColor="text1"/>
        </w:rPr>
        <w:t>3. Article Review</w:t>
      </w:r>
    </w:p>
    <w:p w14:paraId="78827FCD" w14:textId="3689F42F" w:rsidR="008370FF" w:rsidRDefault="00152731" w:rsidP="000731AF">
      <w:pPr>
        <w:spacing w:line="276" w:lineRule="auto"/>
        <w:rPr>
          <w:rFonts w:ascii="Arial" w:hAnsi="Arial" w:cs="Arial"/>
          <w:color w:val="000000"/>
          <w:sz w:val="22"/>
          <w:szCs w:val="22"/>
        </w:rPr>
      </w:pPr>
      <w:r>
        <w:rPr>
          <w:rFonts w:ascii="Arial" w:hAnsi="Arial" w:cs="Arial"/>
          <w:color w:val="000000"/>
          <w:sz w:val="22"/>
          <w:szCs w:val="22"/>
        </w:rPr>
        <w:t>All 35 articles were reviewed. Two lenses of inquiry were used to extract documentary evidence for the protective role of education in emergencies, and the intersections between the EiE and CP fields. For each article, the reviewer applied the following lens:</w:t>
      </w:r>
    </w:p>
    <w:p w14:paraId="4C591001" w14:textId="736BE2F8" w:rsidR="00152731" w:rsidRDefault="00152731" w:rsidP="00152731">
      <w:pPr>
        <w:pStyle w:val="ListParagraph"/>
        <w:numPr>
          <w:ilvl w:val="0"/>
          <w:numId w:val="1"/>
        </w:numPr>
        <w:spacing w:line="276" w:lineRule="auto"/>
        <w:rPr>
          <w:rFonts w:ascii="Arial" w:hAnsi="Arial" w:cs="Arial"/>
          <w:color w:val="000000"/>
          <w:sz w:val="22"/>
          <w:szCs w:val="22"/>
        </w:rPr>
      </w:pPr>
      <w:r>
        <w:rPr>
          <w:rFonts w:ascii="Arial" w:hAnsi="Arial" w:cs="Arial"/>
          <w:color w:val="000000"/>
          <w:sz w:val="22"/>
          <w:szCs w:val="22"/>
        </w:rPr>
        <w:t>What is the protective role of education in emergencies?</w:t>
      </w:r>
    </w:p>
    <w:p w14:paraId="43D8E8E8" w14:textId="0CEF4A5E" w:rsidR="00152731" w:rsidRDefault="00152731" w:rsidP="00152731">
      <w:pPr>
        <w:pStyle w:val="ListParagraph"/>
        <w:numPr>
          <w:ilvl w:val="0"/>
          <w:numId w:val="1"/>
        </w:numPr>
        <w:spacing w:line="276" w:lineRule="auto"/>
        <w:rPr>
          <w:rFonts w:ascii="Arial" w:hAnsi="Arial" w:cs="Arial"/>
          <w:color w:val="000000"/>
          <w:sz w:val="22"/>
          <w:szCs w:val="22"/>
        </w:rPr>
      </w:pPr>
      <w:r>
        <w:rPr>
          <w:rFonts w:ascii="Arial" w:hAnsi="Arial" w:cs="Arial"/>
          <w:color w:val="000000"/>
          <w:sz w:val="22"/>
          <w:szCs w:val="22"/>
        </w:rPr>
        <w:t>What are the core ingredients for strengthening protection?</w:t>
      </w:r>
    </w:p>
    <w:p w14:paraId="293F2B90" w14:textId="2DE5D34F" w:rsidR="00152731" w:rsidRDefault="00152731" w:rsidP="00152731">
      <w:pPr>
        <w:spacing w:line="276" w:lineRule="auto"/>
        <w:rPr>
          <w:rFonts w:ascii="Arial" w:hAnsi="Arial" w:cs="Arial"/>
          <w:color w:val="000000"/>
          <w:sz w:val="22"/>
          <w:szCs w:val="22"/>
        </w:rPr>
      </w:pPr>
      <w:r>
        <w:rPr>
          <w:rFonts w:ascii="Arial" w:hAnsi="Arial" w:cs="Arial"/>
          <w:color w:val="000000"/>
          <w:sz w:val="22"/>
          <w:szCs w:val="22"/>
        </w:rPr>
        <w:lastRenderedPageBreak/>
        <w:t xml:space="preserve">The review of all 35 articles </w:t>
      </w:r>
      <w:r w:rsidR="00404FEF">
        <w:rPr>
          <w:rFonts w:ascii="Arial" w:hAnsi="Arial" w:cs="Arial"/>
          <w:color w:val="000000"/>
          <w:sz w:val="22"/>
          <w:szCs w:val="22"/>
        </w:rPr>
        <w:t>is captured in a Reading l</w:t>
      </w:r>
      <w:r>
        <w:rPr>
          <w:rFonts w:ascii="Arial" w:hAnsi="Arial" w:cs="Arial"/>
          <w:color w:val="000000"/>
          <w:sz w:val="22"/>
          <w:szCs w:val="22"/>
        </w:rPr>
        <w:t>og that summarizes the main messages of the article</w:t>
      </w:r>
      <w:r w:rsidR="00404FEF">
        <w:rPr>
          <w:rFonts w:ascii="Arial" w:hAnsi="Arial" w:cs="Arial"/>
          <w:color w:val="000000"/>
          <w:sz w:val="22"/>
          <w:szCs w:val="22"/>
        </w:rPr>
        <w:t>s</w:t>
      </w:r>
      <w:r>
        <w:rPr>
          <w:rFonts w:ascii="Arial" w:hAnsi="Arial" w:cs="Arial"/>
          <w:color w:val="000000"/>
          <w:sz w:val="22"/>
          <w:szCs w:val="22"/>
        </w:rPr>
        <w:t>.</w:t>
      </w:r>
    </w:p>
    <w:p w14:paraId="6FA906D4" w14:textId="2DD8DDB6" w:rsidR="007F5B1F" w:rsidRPr="002E2FC4" w:rsidRDefault="007F5B1F" w:rsidP="007F5B1F">
      <w:pPr>
        <w:spacing w:before="320" w:after="80" w:line="276" w:lineRule="auto"/>
        <w:outlineLvl w:val="2"/>
        <w:rPr>
          <w:rFonts w:ascii="Arial" w:eastAsia="Times New Roman" w:hAnsi="Arial" w:cs="Arial"/>
          <w:b/>
          <w:bCs/>
          <w:color w:val="000000" w:themeColor="text1"/>
        </w:rPr>
      </w:pPr>
      <w:r>
        <w:rPr>
          <w:rFonts w:ascii="Arial" w:eastAsia="Times New Roman" w:hAnsi="Arial" w:cs="Arial"/>
          <w:b/>
          <w:bCs/>
          <w:color w:val="000000" w:themeColor="text1"/>
        </w:rPr>
        <w:t>4. Mapping</w:t>
      </w:r>
    </w:p>
    <w:p w14:paraId="61A41AE7" w14:textId="4AC0E172" w:rsidR="007F5B1F" w:rsidRPr="00152731" w:rsidRDefault="007F5B1F" w:rsidP="00152731">
      <w:pPr>
        <w:spacing w:line="276" w:lineRule="auto"/>
        <w:rPr>
          <w:rFonts w:ascii="Arial" w:hAnsi="Arial" w:cs="Arial"/>
          <w:color w:val="000000"/>
          <w:sz w:val="22"/>
          <w:szCs w:val="22"/>
        </w:rPr>
      </w:pPr>
      <w:r>
        <w:rPr>
          <w:rFonts w:ascii="Arial" w:hAnsi="Arial" w:cs="Arial"/>
          <w:color w:val="000000"/>
          <w:sz w:val="22"/>
          <w:szCs w:val="22"/>
        </w:rPr>
        <w:t>Emerging themes were coded and entered into an excel database under two categories – i) Protective Role of Education in Emergencies and ii) Core Ingredients for Strengthening Protection</w:t>
      </w:r>
      <w:r w:rsidR="002F2ACB">
        <w:rPr>
          <w:rFonts w:ascii="Arial" w:hAnsi="Arial" w:cs="Arial"/>
          <w:color w:val="000000"/>
          <w:sz w:val="22"/>
          <w:szCs w:val="22"/>
        </w:rPr>
        <w:t xml:space="preserve"> in Response. The source, page number, and article content is captured along the x-axis, and the code and discipline (EiE, CP, or merged EiE and CP) is captured along the y-axis. As themes emerge these will be categorized under larger thematic categories (e.g. physical protection, cognitive protection; community participation, structure and predictability) to examine the breadth of sub-themes. The resulting categories and content data will be analyzed to develop a final synthesis document.</w:t>
      </w:r>
    </w:p>
    <w:p w14:paraId="28B1660C" w14:textId="2EAA4441" w:rsidR="007A0E97" w:rsidRPr="002E2FC4" w:rsidRDefault="002F2ACB" w:rsidP="007A0E97">
      <w:pPr>
        <w:spacing w:before="320" w:after="80" w:line="276" w:lineRule="auto"/>
        <w:outlineLvl w:val="2"/>
        <w:rPr>
          <w:rFonts w:ascii="Arial" w:eastAsia="Times New Roman" w:hAnsi="Arial" w:cs="Arial"/>
          <w:b/>
          <w:bCs/>
          <w:color w:val="000000" w:themeColor="text1"/>
        </w:rPr>
      </w:pPr>
      <w:r>
        <w:rPr>
          <w:rFonts w:ascii="Arial" w:eastAsia="Calibri" w:hAnsi="Arial" w:cs="Arial"/>
          <w:b/>
          <w:bCs/>
          <w:color w:val="000000" w:themeColor="text1"/>
        </w:rPr>
        <w:t>5. Products To Date</w:t>
      </w:r>
    </w:p>
    <w:p w14:paraId="244210B8" w14:textId="6A538B23" w:rsidR="002E2FC4" w:rsidRDefault="002F2ACB" w:rsidP="000731AF">
      <w:pPr>
        <w:spacing w:line="276" w:lineRule="auto"/>
        <w:rPr>
          <w:rFonts w:ascii="Arial" w:hAnsi="Arial" w:cs="Arial"/>
          <w:sz w:val="22"/>
          <w:szCs w:val="22"/>
        </w:rPr>
      </w:pPr>
      <w:r>
        <w:rPr>
          <w:rFonts w:ascii="Arial" w:hAnsi="Arial" w:cs="Arial"/>
          <w:sz w:val="22"/>
          <w:szCs w:val="22"/>
        </w:rPr>
        <w:t>The following products have been prepared and are associated with the project, to date:</w:t>
      </w:r>
    </w:p>
    <w:p w14:paraId="46A72B85" w14:textId="434F3B83" w:rsidR="002F2ACB" w:rsidRDefault="002F2ACB" w:rsidP="009D46D5">
      <w:pPr>
        <w:pStyle w:val="ListParagraph"/>
        <w:numPr>
          <w:ilvl w:val="0"/>
          <w:numId w:val="3"/>
        </w:numPr>
        <w:spacing w:line="276" w:lineRule="auto"/>
        <w:rPr>
          <w:rFonts w:ascii="Arial" w:hAnsi="Arial" w:cs="Arial"/>
          <w:sz w:val="22"/>
          <w:szCs w:val="22"/>
        </w:rPr>
      </w:pPr>
      <w:r>
        <w:rPr>
          <w:rFonts w:ascii="Arial" w:hAnsi="Arial" w:cs="Arial"/>
          <w:sz w:val="22"/>
          <w:szCs w:val="22"/>
        </w:rPr>
        <w:t>Concept note for protection mapping, February 7</w:t>
      </w:r>
    </w:p>
    <w:p w14:paraId="0C80C697" w14:textId="266BBE90" w:rsidR="002F2ACB" w:rsidRDefault="002F2ACB" w:rsidP="009D46D5">
      <w:pPr>
        <w:pStyle w:val="ListParagraph"/>
        <w:numPr>
          <w:ilvl w:val="0"/>
          <w:numId w:val="3"/>
        </w:numPr>
        <w:spacing w:line="276" w:lineRule="auto"/>
        <w:rPr>
          <w:rFonts w:ascii="Arial" w:hAnsi="Arial" w:cs="Arial"/>
          <w:sz w:val="22"/>
          <w:szCs w:val="22"/>
        </w:rPr>
      </w:pPr>
      <w:r>
        <w:rPr>
          <w:rFonts w:ascii="Arial" w:hAnsi="Arial" w:cs="Arial"/>
          <w:sz w:val="22"/>
          <w:szCs w:val="22"/>
        </w:rPr>
        <w:t>Larger universe and narrowed list of articles for review</w:t>
      </w:r>
    </w:p>
    <w:p w14:paraId="51AAF452" w14:textId="09AD1A84" w:rsidR="002F2ACB" w:rsidRDefault="002F2ACB" w:rsidP="009D46D5">
      <w:pPr>
        <w:pStyle w:val="ListParagraph"/>
        <w:numPr>
          <w:ilvl w:val="0"/>
          <w:numId w:val="3"/>
        </w:numPr>
        <w:spacing w:line="276" w:lineRule="auto"/>
        <w:rPr>
          <w:rFonts w:ascii="Arial" w:hAnsi="Arial" w:cs="Arial"/>
          <w:sz w:val="22"/>
          <w:szCs w:val="22"/>
        </w:rPr>
      </w:pPr>
      <w:r>
        <w:rPr>
          <w:rFonts w:ascii="Arial" w:hAnsi="Arial" w:cs="Arial"/>
          <w:sz w:val="22"/>
          <w:szCs w:val="22"/>
        </w:rPr>
        <w:t>Reading log of articles reviewed</w:t>
      </w:r>
    </w:p>
    <w:p w14:paraId="0E7A6CD0" w14:textId="5A8049BA" w:rsidR="002F2ACB" w:rsidRDefault="002F2ACB" w:rsidP="009D46D5">
      <w:pPr>
        <w:pStyle w:val="ListParagraph"/>
        <w:numPr>
          <w:ilvl w:val="0"/>
          <w:numId w:val="3"/>
        </w:numPr>
        <w:spacing w:line="276" w:lineRule="auto"/>
        <w:rPr>
          <w:rFonts w:ascii="Arial" w:hAnsi="Arial" w:cs="Arial"/>
          <w:sz w:val="22"/>
          <w:szCs w:val="22"/>
        </w:rPr>
      </w:pPr>
      <w:r>
        <w:rPr>
          <w:rFonts w:ascii="Arial" w:hAnsi="Arial" w:cs="Arial"/>
          <w:sz w:val="22"/>
          <w:szCs w:val="22"/>
        </w:rPr>
        <w:t>Excel mapping of emerging themes</w:t>
      </w:r>
      <w:r w:rsidR="00404FEF">
        <w:rPr>
          <w:rFonts w:ascii="Arial" w:hAnsi="Arial" w:cs="Arial"/>
          <w:sz w:val="22"/>
          <w:szCs w:val="22"/>
        </w:rPr>
        <w:t xml:space="preserve"> (in process)</w:t>
      </w:r>
    </w:p>
    <w:p w14:paraId="163E447E" w14:textId="54628447" w:rsidR="002F2ACB" w:rsidRPr="002F2ACB" w:rsidRDefault="002F2ACB" w:rsidP="009D46D5">
      <w:pPr>
        <w:pStyle w:val="ListParagraph"/>
        <w:numPr>
          <w:ilvl w:val="0"/>
          <w:numId w:val="3"/>
        </w:numPr>
        <w:spacing w:line="276" w:lineRule="auto"/>
        <w:rPr>
          <w:rFonts w:ascii="Arial" w:hAnsi="Arial" w:cs="Arial"/>
          <w:sz w:val="22"/>
          <w:szCs w:val="22"/>
        </w:rPr>
      </w:pPr>
      <w:r>
        <w:rPr>
          <w:rFonts w:ascii="Arial" w:hAnsi="Arial" w:cs="Arial"/>
          <w:sz w:val="22"/>
          <w:szCs w:val="22"/>
        </w:rPr>
        <w:t>Methods brief (present document)</w:t>
      </w:r>
    </w:p>
    <w:p w14:paraId="55094216" w14:textId="77777777" w:rsidR="002F2ACB" w:rsidRDefault="002F2ACB" w:rsidP="000731AF">
      <w:pPr>
        <w:spacing w:line="276" w:lineRule="auto"/>
        <w:rPr>
          <w:rFonts w:ascii="Arial" w:hAnsi="Arial" w:cs="Arial"/>
          <w:sz w:val="22"/>
          <w:szCs w:val="22"/>
        </w:rPr>
      </w:pPr>
    </w:p>
    <w:p w14:paraId="27DBCBB6" w14:textId="77777777" w:rsidR="00FC0955" w:rsidRPr="002E2FC4" w:rsidRDefault="00FC0955">
      <w:pPr>
        <w:rPr>
          <w:rFonts w:ascii="Arial" w:hAnsi="Arial" w:cs="Arial"/>
          <w:sz w:val="22"/>
          <w:szCs w:val="22"/>
        </w:rPr>
      </w:pPr>
    </w:p>
    <w:sectPr w:rsidR="00FC0955" w:rsidRPr="002E2FC4" w:rsidSect="009F29BF">
      <w:pgSz w:w="11900" w:h="16840"/>
      <w:pgMar w:top="1440" w:right="1440" w:bottom="1440" w:left="1440"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48112B"/>
    <w:multiLevelType w:val="hybridMultilevel"/>
    <w:tmpl w:val="B2A8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A41F7F"/>
    <w:multiLevelType w:val="hybridMultilevel"/>
    <w:tmpl w:val="14DA49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FA38FD"/>
    <w:multiLevelType w:val="hybridMultilevel"/>
    <w:tmpl w:val="00529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FC4"/>
    <w:rsid w:val="000731AF"/>
    <w:rsid w:val="00152731"/>
    <w:rsid w:val="002E2FC4"/>
    <w:rsid w:val="002F2ACB"/>
    <w:rsid w:val="00404FEF"/>
    <w:rsid w:val="005D038A"/>
    <w:rsid w:val="007A0E97"/>
    <w:rsid w:val="007F5B1F"/>
    <w:rsid w:val="008370FF"/>
    <w:rsid w:val="00855787"/>
    <w:rsid w:val="00887861"/>
    <w:rsid w:val="008C23D7"/>
    <w:rsid w:val="008F69B8"/>
    <w:rsid w:val="009D46D5"/>
    <w:rsid w:val="009F29BF"/>
    <w:rsid w:val="00AA642C"/>
    <w:rsid w:val="00CB69C5"/>
    <w:rsid w:val="00FC095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A716EE"/>
  <w14:defaultImageDpi w14:val="32767"/>
  <w15:docId w15:val="{DC01C812-C68C-4D8F-B9DB-EDBE9B86F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2E2FC4"/>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E2FC4"/>
    <w:rPr>
      <w:rFonts w:ascii="Times New Roman" w:hAnsi="Times New Roman" w:cs="Times New Roman"/>
      <w:b/>
      <w:bCs/>
      <w:sz w:val="27"/>
      <w:szCs w:val="27"/>
    </w:rPr>
  </w:style>
  <w:style w:type="paragraph" w:styleId="NormalWeb">
    <w:name w:val="Normal (Web)"/>
    <w:basedOn w:val="Normal"/>
    <w:uiPriority w:val="99"/>
    <w:semiHidden/>
    <w:unhideWhenUsed/>
    <w:rsid w:val="002E2FC4"/>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uiPriority w:val="99"/>
    <w:semiHidden/>
    <w:unhideWhenUsed/>
    <w:rsid w:val="00FC09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0955"/>
    <w:rPr>
      <w:rFonts w:ascii="Lucida Grande" w:hAnsi="Lucida Grande" w:cs="Lucida Grande"/>
      <w:sz w:val="18"/>
      <w:szCs w:val="18"/>
    </w:rPr>
  </w:style>
  <w:style w:type="paragraph" w:styleId="ListParagraph">
    <w:name w:val="List Paragraph"/>
    <w:basedOn w:val="Normal"/>
    <w:uiPriority w:val="34"/>
    <w:qFormat/>
    <w:rsid w:val="001527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5793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3515</Characters>
  <Application>Microsoft Office Word</Application>
  <DocSecurity>4</DocSecurity>
  <Lines>29</Lines>
  <Paragraphs>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Methods Brief</vt:lpstr>
      <vt:lpstr>        </vt:lpstr>
      <vt:lpstr>        Methodology </vt:lpstr>
      <vt:lpstr>        Criteria for Document Selection </vt:lpstr>
    </vt:vector>
  </TitlesOfParts>
  <Company>University of Oxford</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Lo</dc:creator>
  <cp:keywords/>
  <dc:description/>
  <cp:lastModifiedBy>Andrea Diaz-Varela</cp:lastModifiedBy>
  <cp:revision>2</cp:revision>
  <dcterms:created xsi:type="dcterms:W3CDTF">2018-02-01T18:03:00Z</dcterms:created>
  <dcterms:modified xsi:type="dcterms:W3CDTF">2018-02-01T18:03:00Z</dcterms:modified>
</cp:coreProperties>
</file>